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14" w:rsidRDefault="00307B14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DODÁVKA A MONTÁŽ NÁBYTKU</w:t>
      </w:r>
      <w:r>
        <w:rPr>
          <w:rFonts w:ascii="Arial" w:hAnsi="Arial" w:cs="Arial"/>
          <w:sz w:val="40"/>
          <w:szCs w:val="40"/>
        </w:rPr>
        <w:br/>
        <w:t xml:space="preserve"> </w:t>
      </w:r>
      <w:r>
        <w:rPr>
          <w:rFonts w:ascii="Arial" w:hAnsi="Arial" w:cs="Arial"/>
          <w:sz w:val="40"/>
        </w:rPr>
        <w:t>KOLEJE VINAŘSKÁ 5, BRNO</w:t>
      </w:r>
    </w:p>
    <w:p w:rsidR="00307B14" w:rsidRDefault="006267A3" w:rsidP="006267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29 pokojů</w:t>
      </w:r>
    </w:p>
    <w:p w:rsidR="00307B14" w:rsidRDefault="00307B14">
      <w:pPr>
        <w:jc w:val="center"/>
        <w:rPr>
          <w:sz w:val="28"/>
          <w:szCs w:val="28"/>
        </w:rPr>
      </w:pPr>
    </w:p>
    <w:p w:rsidR="009F55B4" w:rsidRDefault="009F55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TECHNICKÁ </w:t>
      </w:r>
      <w:r w:rsidR="00BA6C4C">
        <w:rPr>
          <w:sz w:val="28"/>
          <w:szCs w:val="28"/>
        </w:rPr>
        <w:t>ZPRÁVA</w:t>
      </w:r>
    </w:p>
    <w:p w:rsidR="009F55B4" w:rsidRDefault="009F55B4">
      <w:r>
        <w:br/>
        <w:t xml:space="preserve">Technická dokumentace byla vypracovaná na za </w:t>
      </w:r>
      <w:proofErr w:type="gramStart"/>
      <w:r>
        <w:t>základě</w:t>
      </w:r>
      <w:proofErr w:type="gramEnd"/>
      <w:r>
        <w:t xml:space="preserve"> objednávky č. 81</w:t>
      </w:r>
      <w:r w:rsidR="00A019A1">
        <w:t>99</w:t>
      </w:r>
      <w:r>
        <w:t>/00</w:t>
      </w:r>
      <w:r w:rsidR="00A019A1">
        <w:t>0</w:t>
      </w:r>
      <w:r w:rsidR="0097435A">
        <w:t>1</w:t>
      </w:r>
      <w:r>
        <w:t>/1</w:t>
      </w:r>
      <w:r w:rsidR="0097435A">
        <w:t>7</w:t>
      </w:r>
      <w:r>
        <w:t>.</w:t>
      </w:r>
    </w:p>
    <w:p w:rsidR="001C1594" w:rsidRDefault="001C1594"/>
    <w:p w:rsidR="009F55B4" w:rsidRDefault="009F55B4">
      <w:r>
        <w:rPr>
          <w:color w:val="000000"/>
        </w:rPr>
        <w:t>Objedn</w:t>
      </w:r>
      <w:r>
        <w:t xml:space="preserve">avatel: Masarykova univerzita, Správa kolejí a menz, Vinařská 5, Brno. </w:t>
      </w:r>
    </w:p>
    <w:p w:rsidR="009F55B4" w:rsidRDefault="009F55B4">
      <w:pPr>
        <w:tabs>
          <w:tab w:val="left" w:pos="540"/>
          <w:tab w:val="left" w:pos="2340"/>
          <w:tab w:val="left" w:pos="2880"/>
        </w:tabs>
      </w:pPr>
    </w:p>
    <w:p w:rsidR="009F55B4" w:rsidRDefault="009F55B4">
      <w:pPr>
        <w:tabs>
          <w:tab w:val="left" w:pos="540"/>
          <w:tab w:val="left" w:pos="2340"/>
          <w:tab w:val="left" w:pos="2880"/>
        </w:tabs>
      </w:pPr>
      <w:r>
        <w:t>Zadání bylo upřesněno a dále odsou</w:t>
      </w:r>
      <w:r w:rsidR="001C1594">
        <w:t>hlaseno na technick</w:t>
      </w:r>
      <w:r w:rsidR="00A019A1">
        <w:t>é</w:t>
      </w:r>
      <w:r w:rsidR="001C1594">
        <w:t xml:space="preserve"> rad</w:t>
      </w:r>
      <w:r w:rsidR="00A019A1">
        <w:t>ě</w:t>
      </w:r>
      <w:r w:rsidR="001C1594">
        <w:t xml:space="preserve"> na kolejích Vinařská 5 v Brně</w:t>
      </w:r>
    </w:p>
    <w:p w:rsidR="001C1594" w:rsidRDefault="001C1594">
      <w:pPr>
        <w:tabs>
          <w:tab w:val="left" w:pos="540"/>
          <w:tab w:val="left" w:pos="2340"/>
          <w:tab w:val="left" w:pos="2880"/>
        </w:tabs>
      </w:pP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Zde byly projednány požadavky na provedení, kvalitu a celkovou koncepci díla. </w:t>
      </w:r>
    </w:p>
    <w:p w:rsidR="009F55B4" w:rsidRDefault="009F55B4">
      <w:pPr>
        <w:tabs>
          <w:tab w:val="left" w:pos="540"/>
          <w:tab w:val="left" w:pos="2340"/>
          <w:tab w:val="left" w:pos="2880"/>
        </w:tabs>
      </w:pPr>
      <w:r>
        <w:tab/>
      </w:r>
    </w:p>
    <w:p w:rsidR="009F55B4" w:rsidRDefault="009F55B4">
      <w:pPr>
        <w:tabs>
          <w:tab w:val="left" w:pos="540"/>
          <w:tab w:val="left" w:pos="2340"/>
          <w:tab w:val="left" w:pos="2880"/>
        </w:tabs>
      </w:pPr>
      <w:r>
        <w:t xml:space="preserve">Předmětem řešení </w:t>
      </w:r>
      <w:r w:rsidR="001C1594">
        <w:t xml:space="preserve">je nový nábytek </w:t>
      </w:r>
      <w:r w:rsidR="00A019A1">
        <w:t>hotelov</w:t>
      </w:r>
      <w:r w:rsidR="0097435A">
        <w:t>ých pokojů</w:t>
      </w:r>
      <w:r w:rsidR="001C1594">
        <w:t xml:space="preserve"> na Vinařské 5 v Brně.</w:t>
      </w:r>
    </w:p>
    <w:p w:rsidR="001C1594" w:rsidRDefault="001C1594">
      <w:pPr>
        <w:tabs>
          <w:tab w:val="left" w:pos="540"/>
          <w:tab w:val="left" w:pos="2340"/>
          <w:tab w:val="left" w:pos="2880"/>
        </w:tabs>
      </w:pPr>
      <w:r>
        <w:t xml:space="preserve">Jedná se o </w:t>
      </w:r>
      <w:r w:rsidR="00902ABE">
        <w:t>dvoulůžkové pokoje</w:t>
      </w:r>
      <w:r>
        <w:t xml:space="preserve"> s </w:t>
      </w:r>
      <w:r w:rsidR="00A019A1">
        <w:t>hotelový</w:t>
      </w:r>
      <w:r>
        <w:t>m standardem</w:t>
      </w:r>
      <w:r w:rsidR="006E5EB2">
        <w:t xml:space="preserve"> v bloku A3</w:t>
      </w:r>
      <w:r>
        <w:t xml:space="preserve"> </w:t>
      </w:r>
    </w:p>
    <w:p w:rsidR="0097435A" w:rsidRDefault="0097435A">
      <w:pPr>
        <w:tabs>
          <w:tab w:val="left" w:pos="540"/>
          <w:tab w:val="left" w:pos="2340"/>
          <w:tab w:val="left" w:pos="2880"/>
        </w:tabs>
      </w:pPr>
    </w:p>
    <w:p w:rsidR="0097435A" w:rsidRDefault="0097435A">
      <w:pPr>
        <w:tabs>
          <w:tab w:val="left" w:pos="540"/>
          <w:tab w:val="left" w:pos="2340"/>
          <w:tab w:val="left" w:pos="2880"/>
        </w:tabs>
      </w:pPr>
      <w:r>
        <w:t xml:space="preserve">Počet pokojů – </w:t>
      </w:r>
      <w:r w:rsidR="000A2137">
        <w:t>29</w:t>
      </w:r>
      <w:r>
        <w:t>, z</w:t>
      </w:r>
      <w:r w:rsidR="000A2137">
        <w:t> </w:t>
      </w:r>
      <w:r>
        <w:t>toho</w:t>
      </w:r>
      <w:r w:rsidR="000A2137">
        <w:t xml:space="preserve"> 6 s lůžky u sebe a 23 s oddělenými lůžky</w:t>
      </w:r>
      <w:r>
        <w:t xml:space="preserve"> </w:t>
      </w:r>
    </w:p>
    <w:p w:rsidR="009F55B4" w:rsidRDefault="009F55B4">
      <w:pPr>
        <w:tabs>
          <w:tab w:val="left" w:pos="540"/>
          <w:tab w:val="left" w:pos="2340"/>
          <w:tab w:val="left" w:pos="2880"/>
        </w:tabs>
      </w:pPr>
    </w:p>
    <w:p w:rsidR="009F55B4" w:rsidRDefault="009F55B4">
      <w:pPr>
        <w:tabs>
          <w:tab w:val="left" w:pos="540"/>
          <w:tab w:val="left" w:pos="2340"/>
          <w:tab w:val="left" w:pos="2880"/>
        </w:tabs>
      </w:pPr>
      <w:r>
        <w:t xml:space="preserve">Jednotlivé prvky vnitřního vybavení </w:t>
      </w:r>
      <w:r w:rsidR="00902ABE">
        <w:t>interiéru</w:t>
      </w:r>
      <w:r>
        <w:t xml:space="preserve"> </w:t>
      </w:r>
      <w:r w:rsidR="00C361C1">
        <w:t>jsou</w:t>
      </w:r>
      <w:r>
        <w:t xml:space="preserve"> rozkresleny na výkresech číslo </w:t>
      </w:r>
      <w:r w:rsidR="00C361C1">
        <w:t>1</w:t>
      </w:r>
      <w:r>
        <w:t xml:space="preserve"> až </w:t>
      </w:r>
      <w:r w:rsidR="006E5EB2">
        <w:t>12.</w:t>
      </w:r>
    </w:p>
    <w:p w:rsidR="009F55B4" w:rsidRDefault="009F55B4">
      <w:pPr>
        <w:tabs>
          <w:tab w:val="left" w:pos="540"/>
          <w:tab w:val="left" w:pos="2340"/>
          <w:tab w:val="left" w:pos="2880"/>
        </w:tabs>
      </w:pPr>
    </w:p>
    <w:p w:rsidR="009F55B4" w:rsidRDefault="00C361C1">
      <w:pPr>
        <w:tabs>
          <w:tab w:val="left" w:pos="540"/>
          <w:tab w:val="left" w:pos="2340"/>
          <w:tab w:val="left" w:pos="2880"/>
        </w:tabs>
        <w:rPr>
          <w:bCs/>
          <w:iCs/>
        </w:rPr>
      </w:pPr>
      <w:r w:rsidRPr="001C1594">
        <w:rPr>
          <w:bCs/>
          <w:iCs/>
        </w:rPr>
        <w:t xml:space="preserve">Návrh </w:t>
      </w:r>
      <w:r w:rsidR="00902ABE" w:rsidRPr="001C1594">
        <w:rPr>
          <w:bCs/>
          <w:iCs/>
        </w:rPr>
        <w:t>interiéru</w:t>
      </w:r>
      <w:r w:rsidR="009F55B4" w:rsidRPr="001C1594">
        <w:rPr>
          <w:bCs/>
          <w:iCs/>
        </w:rPr>
        <w:t xml:space="preserve"> se </w:t>
      </w:r>
      <w:r w:rsidR="001C1594" w:rsidRPr="001C1594">
        <w:rPr>
          <w:bCs/>
          <w:iCs/>
        </w:rPr>
        <w:t>ne</w:t>
      </w:r>
      <w:r w:rsidR="009F55B4" w:rsidRPr="001C1594">
        <w:rPr>
          <w:bCs/>
          <w:iCs/>
        </w:rPr>
        <w:t>týká</w:t>
      </w:r>
      <w:r w:rsidR="001C1594">
        <w:rPr>
          <w:bCs/>
          <w:iCs/>
        </w:rPr>
        <w:t xml:space="preserve"> podlah, </w:t>
      </w:r>
      <w:r w:rsidR="00A019A1">
        <w:rPr>
          <w:bCs/>
          <w:iCs/>
        </w:rPr>
        <w:t xml:space="preserve">povrchů </w:t>
      </w:r>
      <w:r w:rsidR="00902ABE">
        <w:rPr>
          <w:bCs/>
          <w:iCs/>
        </w:rPr>
        <w:t>stěn, podhledů</w:t>
      </w:r>
      <w:r w:rsidR="001C1594">
        <w:rPr>
          <w:bCs/>
          <w:iCs/>
        </w:rPr>
        <w:t xml:space="preserve">, osvětlení, </w:t>
      </w:r>
      <w:r w:rsidR="00902ABE">
        <w:rPr>
          <w:bCs/>
          <w:iCs/>
        </w:rPr>
        <w:t>kuchyněk, garnyží</w:t>
      </w:r>
      <w:r w:rsidR="00A019A1">
        <w:rPr>
          <w:bCs/>
          <w:iCs/>
        </w:rPr>
        <w:t xml:space="preserve"> včetně látek</w:t>
      </w:r>
      <w:r w:rsidR="001C1594">
        <w:rPr>
          <w:bCs/>
          <w:iCs/>
        </w:rPr>
        <w:t xml:space="preserve"> a sociálního zařízení</w:t>
      </w:r>
    </w:p>
    <w:p w:rsidR="009F55B4" w:rsidRDefault="00A019A1" w:rsidP="008663EE">
      <w:pPr>
        <w:rPr>
          <w:rFonts w:cs="NimbusSansDCE-LightCondensed"/>
          <w:b/>
          <w:bCs/>
        </w:rPr>
      </w:pPr>
      <w:r>
        <w:rPr>
          <w:color w:val="000000"/>
        </w:rPr>
        <w:t>Na výkres</w:t>
      </w:r>
      <w:r w:rsidR="00ED47C4">
        <w:rPr>
          <w:color w:val="000000"/>
        </w:rPr>
        <w:t>e</w:t>
      </w:r>
      <w:r>
        <w:rPr>
          <w:color w:val="000000"/>
        </w:rPr>
        <w:t xml:space="preserve">ch </w:t>
      </w:r>
      <w:r w:rsidR="00962E4D">
        <w:rPr>
          <w:color w:val="000000"/>
        </w:rPr>
        <w:t xml:space="preserve"> je přesné umístění jednotlivých zařizovacích předmětů, vzhledem k rozmístění el. </w:t>
      </w:r>
      <w:proofErr w:type="gramStart"/>
      <w:r w:rsidR="00962E4D">
        <w:rPr>
          <w:color w:val="000000"/>
        </w:rPr>
        <w:t>zásuvek</w:t>
      </w:r>
      <w:proofErr w:type="gramEnd"/>
      <w:r w:rsidR="00962E4D">
        <w:rPr>
          <w:color w:val="000000"/>
        </w:rPr>
        <w:t>.</w:t>
      </w:r>
    </w:p>
    <w:p w:rsidR="008663EE" w:rsidRDefault="008663EE" w:rsidP="008663EE">
      <w:pPr>
        <w:rPr>
          <w:color w:val="000000"/>
          <w:u w:val="single"/>
        </w:rPr>
      </w:pPr>
      <w:r w:rsidRPr="008663EE">
        <w:rPr>
          <w:color w:val="000000"/>
          <w:u w:val="single"/>
        </w:rPr>
        <w:t xml:space="preserve">Nové elektro napojit do stávající elektroinstalace </w:t>
      </w:r>
      <w:r>
        <w:rPr>
          <w:color w:val="000000"/>
          <w:u w:val="single"/>
        </w:rPr>
        <w:t>– součást dodávky</w:t>
      </w:r>
    </w:p>
    <w:p w:rsidR="001D5DCB" w:rsidRDefault="001D5DCB" w:rsidP="008663EE">
      <w:pPr>
        <w:rPr>
          <w:color w:val="000000"/>
          <w:u w:val="single"/>
        </w:rPr>
      </w:pPr>
    </w:p>
    <w:p w:rsidR="001D5DCB" w:rsidRDefault="001D5DCB" w:rsidP="008663EE">
      <w:pPr>
        <w:rPr>
          <w:color w:val="000000"/>
        </w:rPr>
      </w:pPr>
      <w:r>
        <w:rPr>
          <w:color w:val="000000"/>
          <w:u w:val="single"/>
        </w:rPr>
        <w:t>Součástí dodávky nábytku je také revize nové elektroinstalace</w:t>
      </w:r>
    </w:p>
    <w:p w:rsidR="009F55B4" w:rsidRDefault="009F55B4">
      <w:pPr>
        <w:rPr>
          <w:color w:val="000000"/>
        </w:rPr>
      </w:pP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b/>
          <w:bCs/>
          <w:color w:val="000000"/>
        </w:rPr>
      </w:pPr>
      <w:r>
        <w:rPr>
          <w:b/>
          <w:bCs/>
          <w:color w:val="000000"/>
        </w:rPr>
        <w:t>INTERIÉROVÉ ŘEŠENÍ:</w:t>
      </w: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color w:val="000000"/>
          <w:u w:val="single"/>
        </w:rPr>
      </w:pP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color w:val="000000"/>
          <w:u w:val="single"/>
        </w:rPr>
      </w:pPr>
      <w:r>
        <w:rPr>
          <w:color w:val="000000"/>
        </w:rPr>
        <w:tab/>
      </w:r>
    </w:p>
    <w:p w:rsidR="005C416E" w:rsidRDefault="009F55B4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        </w:t>
      </w:r>
      <w:r w:rsidR="00902ABE">
        <w:rPr>
          <w:color w:val="000000"/>
        </w:rPr>
        <w:t>Interiér</w:t>
      </w:r>
      <w:r>
        <w:rPr>
          <w:color w:val="000000"/>
        </w:rPr>
        <w:t xml:space="preserve"> je navržen </w:t>
      </w:r>
      <w:r w:rsidR="006630B6">
        <w:rPr>
          <w:color w:val="000000"/>
        </w:rPr>
        <w:t>v</w:t>
      </w:r>
      <w:r w:rsidR="005C416E">
        <w:rPr>
          <w:color w:val="000000"/>
        </w:rPr>
        <w:t> </w:t>
      </w:r>
      <w:r w:rsidR="00EE6C27">
        <w:rPr>
          <w:color w:val="000000"/>
        </w:rPr>
        <w:t>klasickém</w:t>
      </w:r>
      <w:r w:rsidR="006630B6">
        <w:rPr>
          <w:color w:val="000000"/>
        </w:rPr>
        <w:t xml:space="preserve"> stylu</w:t>
      </w:r>
      <w:r w:rsidR="005C416E">
        <w:rPr>
          <w:color w:val="000000"/>
        </w:rPr>
        <w:t>, základ v uklidňujícím dřevěném dezénu a doplňky v</w:t>
      </w:r>
      <w:r w:rsidR="00EE6C27">
        <w:rPr>
          <w:color w:val="000000"/>
        </w:rPr>
        <w:t> tlumené béžové</w:t>
      </w:r>
      <w:r w:rsidR="005C416E">
        <w:rPr>
          <w:color w:val="000000"/>
        </w:rPr>
        <w:t xml:space="preserve"> barv</w:t>
      </w:r>
      <w:r w:rsidR="00E74DB3">
        <w:rPr>
          <w:color w:val="000000"/>
        </w:rPr>
        <w:t>ě</w:t>
      </w:r>
      <w:r w:rsidR="004D20CA">
        <w:rPr>
          <w:color w:val="000000"/>
        </w:rPr>
        <w:t>.</w:t>
      </w:r>
      <w:r w:rsidR="005C416E">
        <w:rPr>
          <w:color w:val="000000"/>
        </w:rPr>
        <w:t xml:space="preserve"> Zde konkrétně použité dezény </w:t>
      </w:r>
      <w:proofErr w:type="gramStart"/>
      <w:r w:rsidR="005C416E">
        <w:rPr>
          <w:color w:val="000000"/>
        </w:rPr>
        <w:t>jsou :</w:t>
      </w:r>
      <w:proofErr w:type="gramEnd"/>
    </w:p>
    <w:p w:rsidR="005C416E" w:rsidRDefault="005C416E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Dezén </w:t>
      </w:r>
      <w:proofErr w:type="gramStart"/>
      <w:r>
        <w:rPr>
          <w:color w:val="000000"/>
        </w:rPr>
        <w:t>dřeva</w:t>
      </w:r>
      <w:proofErr w:type="gramEnd"/>
      <w:r>
        <w:rPr>
          <w:color w:val="000000"/>
        </w:rPr>
        <w:t xml:space="preserve"> </w:t>
      </w:r>
      <w:r w:rsidR="004D20CA">
        <w:rPr>
          <w:color w:val="000000"/>
        </w:rPr>
        <w:t>–</w:t>
      </w:r>
      <w:proofErr w:type="gramStart"/>
      <w:r w:rsidR="004D20CA">
        <w:rPr>
          <w:color w:val="000000"/>
        </w:rPr>
        <w:t>p</w:t>
      </w:r>
      <w:r w:rsidR="00EE6C27">
        <w:rPr>
          <w:color w:val="000000"/>
        </w:rPr>
        <w:t>latan</w:t>
      </w:r>
      <w:proofErr w:type="gramEnd"/>
      <w:r w:rsidR="00EE6C27">
        <w:rPr>
          <w:color w:val="000000"/>
        </w:rPr>
        <w:t xml:space="preserve"> </w:t>
      </w:r>
      <w:r w:rsidR="004D20CA">
        <w:rPr>
          <w:color w:val="000000"/>
        </w:rPr>
        <w:t>s</w:t>
      </w:r>
      <w:r w:rsidR="00EE6C27">
        <w:rPr>
          <w:color w:val="000000"/>
        </w:rPr>
        <w:t>třední</w:t>
      </w:r>
      <w:r w:rsidR="00962E4D">
        <w:rPr>
          <w:color w:val="000000"/>
        </w:rPr>
        <w:t> </w:t>
      </w:r>
      <w:r w:rsidR="00EE6C27">
        <w:rPr>
          <w:color w:val="000000"/>
        </w:rPr>
        <w:t xml:space="preserve"> v</w:t>
      </w:r>
      <w:r w:rsidR="00ED47C4">
        <w:rPr>
          <w:color w:val="000000"/>
        </w:rPr>
        <w:t> </w:t>
      </w:r>
      <w:r w:rsidR="00EE6C27">
        <w:rPr>
          <w:color w:val="000000"/>
        </w:rPr>
        <w:t>strukturova</w:t>
      </w:r>
      <w:r w:rsidR="00962E4D">
        <w:rPr>
          <w:color w:val="000000"/>
        </w:rPr>
        <w:t>ném</w:t>
      </w:r>
      <w:r w:rsidR="00ED47C4">
        <w:rPr>
          <w:color w:val="000000"/>
        </w:rPr>
        <w:t xml:space="preserve"> plastickém</w:t>
      </w:r>
      <w:r w:rsidR="00962E4D">
        <w:rPr>
          <w:color w:val="000000"/>
        </w:rPr>
        <w:t xml:space="preserve"> povrchu</w:t>
      </w:r>
      <w:r>
        <w:rPr>
          <w:color w:val="000000"/>
        </w:rPr>
        <w:t xml:space="preserve"> </w:t>
      </w:r>
    </w:p>
    <w:p w:rsidR="005C416E" w:rsidRDefault="005C416E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Barva </w:t>
      </w:r>
      <w:r w:rsidR="004D20CA">
        <w:rPr>
          <w:color w:val="000000"/>
        </w:rPr>
        <w:t xml:space="preserve">béžová odstín </w:t>
      </w:r>
      <w:proofErr w:type="spellStart"/>
      <w:r w:rsidR="004D20CA">
        <w:rPr>
          <w:color w:val="000000"/>
        </w:rPr>
        <w:t>ch</w:t>
      </w:r>
      <w:r w:rsidR="00EE6C27">
        <w:rPr>
          <w:color w:val="000000"/>
        </w:rPr>
        <w:t>ampagne</w:t>
      </w:r>
      <w:proofErr w:type="spellEnd"/>
      <w:r w:rsidR="00D04A43">
        <w:rPr>
          <w:color w:val="000000"/>
        </w:rPr>
        <w:t xml:space="preserve"> </w:t>
      </w:r>
      <w:r w:rsidR="00EE6C27">
        <w:rPr>
          <w:color w:val="000000"/>
        </w:rPr>
        <w:t>dle vzorku na výkresech</w:t>
      </w:r>
    </w:p>
    <w:p w:rsidR="00D678CE" w:rsidRDefault="00D678CE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Vzorky, včetně vzorku čalounění, jsou na výkrese </w:t>
      </w:r>
      <w:r w:rsidR="00902ABE">
        <w:rPr>
          <w:color w:val="000000"/>
        </w:rPr>
        <w:t>č. 12</w:t>
      </w:r>
    </w:p>
    <w:p w:rsidR="00962E4D" w:rsidRDefault="00962E4D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962E4D" w:rsidRDefault="00962E4D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Ke všem povrchům ABS hrany </w:t>
      </w:r>
      <w:r w:rsidR="004D20CA">
        <w:rPr>
          <w:color w:val="000000"/>
        </w:rPr>
        <w:t xml:space="preserve">/ plastové/ </w:t>
      </w:r>
      <w:r>
        <w:rPr>
          <w:color w:val="000000"/>
        </w:rPr>
        <w:t>2mm stejného dezénu</w:t>
      </w:r>
    </w:p>
    <w:p w:rsidR="008663EE" w:rsidRDefault="001002FE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Použitý typ laminovaných desek je nutné odsouhlasit s investorem a projektantem</w:t>
      </w:r>
    </w:p>
    <w:p w:rsidR="008663EE" w:rsidRDefault="008663EE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FE5863" w:rsidRDefault="00FE586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FE5863" w:rsidRDefault="00FE586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Dvoulůžkov</w:t>
      </w:r>
      <w:r w:rsidR="0097435A">
        <w:rPr>
          <w:color w:val="000000"/>
        </w:rPr>
        <w:t>é</w:t>
      </w:r>
      <w:r>
        <w:rPr>
          <w:color w:val="000000"/>
        </w:rPr>
        <w:t xml:space="preserve"> pokoj</w:t>
      </w:r>
      <w:r w:rsidR="0097435A">
        <w:rPr>
          <w:color w:val="000000"/>
        </w:rPr>
        <w:t>e se liší pouze</w:t>
      </w:r>
      <w:r w:rsidR="000A2137">
        <w:rPr>
          <w:color w:val="000000"/>
        </w:rPr>
        <w:t xml:space="preserve"> uspořádáním lůžek – u sebe nebo odděleně</w:t>
      </w:r>
      <w:r w:rsidR="0097435A">
        <w:rPr>
          <w:color w:val="000000"/>
        </w:rPr>
        <w:t xml:space="preserve"> </w:t>
      </w:r>
    </w:p>
    <w:p w:rsidR="00D04A43" w:rsidRDefault="00D04A4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D04A43" w:rsidRDefault="00D04A4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Veškerý nábytek v</w:t>
      </w:r>
      <w:r w:rsidR="000A2137">
        <w:rPr>
          <w:color w:val="000000"/>
        </w:rPr>
        <w:t> </w:t>
      </w:r>
      <w:proofErr w:type="gramStart"/>
      <w:r w:rsidR="000A2137">
        <w:rPr>
          <w:color w:val="000000"/>
        </w:rPr>
        <w:t xml:space="preserve">pokojích </w:t>
      </w:r>
      <w:r>
        <w:rPr>
          <w:color w:val="000000"/>
        </w:rPr>
        <w:t xml:space="preserve"> je</w:t>
      </w:r>
      <w:proofErr w:type="gramEnd"/>
      <w:r>
        <w:rPr>
          <w:color w:val="000000"/>
        </w:rPr>
        <w:t xml:space="preserve"> rozkreslen a popsán na výkresech č. </w:t>
      </w:r>
      <w:r w:rsidR="000A2137">
        <w:rPr>
          <w:color w:val="000000"/>
        </w:rPr>
        <w:t>1</w:t>
      </w:r>
      <w:r>
        <w:rPr>
          <w:color w:val="000000"/>
        </w:rPr>
        <w:t xml:space="preserve"> až </w:t>
      </w:r>
      <w:r w:rsidR="006E5EB2">
        <w:rPr>
          <w:color w:val="000000"/>
        </w:rPr>
        <w:t>12</w:t>
      </w:r>
    </w:p>
    <w:p w:rsidR="00D04A43" w:rsidRDefault="00D04A4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Jednotlivé položky jsou popsány na výkresech standardů</w:t>
      </w:r>
    </w:p>
    <w:p w:rsidR="00FE5863" w:rsidRDefault="00FE586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EE6C27" w:rsidRDefault="00FE586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Každý </w:t>
      </w:r>
      <w:r w:rsidR="00EE6C27">
        <w:rPr>
          <w:color w:val="000000"/>
        </w:rPr>
        <w:t>klient</w:t>
      </w:r>
      <w:r>
        <w:rPr>
          <w:color w:val="000000"/>
        </w:rPr>
        <w:t xml:space="preserve"> má k</w:t>
      </w:r>
      <w:r w:rsidR="00D04A43">
        <w:rPr>
          <w:color w:val="000000"/>
        </w:rPr>
        <w:t> </w:t>
      </w:r>
      <w:r>
        <w:rPr>
          <w:color w:val="000000"/>
        </w:rPr>
        <w:t>dispozici</w:t>
      </w:r>
      <w:r w:rsidR="00D04A43">
        <w:rPr>
          <w:color w:val="000000"/>
        </w:rPr>
        <w:t xml:space="preserve"> lůžko 200</w:t>
      </w:r>
      <w:r w:rsidR="006E5EB2">
        <w:rPr>
          <w:color w:val="000000"/>
        </w:rPr>
        <w:t>0</w:t>
      </w:r>
      <w:r w:rsidR="00D04A43">
        <w:rPr>
          <w:color w:val="000000"/>
        </w:rPr>
        <w:t xml:space="preserve"> x </w:t>
      </w:r>
      <w:r w:rsidR="00EE6C27">
        <w:rPr>
          <w:color w:val="000000"/>
        </w:rPr>
        <w:t>1000</w:t>
      </w:r>
      <w:r w:rsidR="00D04A43">
        <w:rPr>
          <w:color w:val="000000"/>
        </w:rPr>
        <w:t xml:space="preserve"> cm</w:t>
      </w:r>
      <w:r w:rsidR="004D45A8">
        <w:rPr>
          <w:color w:val="000000"/>
        </w:rPr>
        <w:t xml:space="preserve"> /matrace – výška matrace </w:t>
      </w:r>
      <w:r w:rsidR="004D20CA">
        <w:rPr>
          <w:color w:val="000000"/>
        </w:rPr>
        <w:t>min.</w:t>
      </w:r>
      <w:r w:rsidR="004D45A8">
        <w:rPr>
          <w:color w:val="000000"/>
        </w:rPr>
        <w:t>1</w:t>
      </w:r>
      <w:r w:rsidR="00EE6C27">
        <w:rPr>
          <w:color w:val="000000"/>
        </w:rPr>
        <w:t>7</w:t>
      </w:r>
      <w:r w:rsidR="004D45A8">
        <w:rPr>
          <w:color w:val="000000"/>
        </w:rPr>
        <w:t>cm/</w:t>
      </w:r>
      <w:r w:rsidR="00D04A43">
        <w:rPr>
          <w:color w:val="000000"/>
        </w:rPr>
        <w:t>.</w:t>
      </w:r>
    </w:p>
    <w:p w:rsidR="00ED47C4" w:rsidRDefault="000A2137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Nakresleny jsou dva typy lůžka. Jeden typ je pro uspořádání s lůžky u sebe – rám je ze tří stran tak, aby matrace přiléhaly k sobě. Zde jsou lůžka levá a pravá. Druhý typ je s rámem po obvodu pro samostatně stojící </w:t>
      </w:r>
      <w:r w:rsidR="00902ABE">
        <w:rPr>
          <w:color w:val="000000"/>
        </w:rPr>
        <w:t>lůžka. Lůžka</w:t>
      </w:r>
      <w:r w:rsidR="00EE6C27">
        <w:rPr>
          <w:color w:val="000000"/>
        </w:rPr>
        <w:t xml:space="preserve"> jsou </w:t>
      </w:r>
      <w:r>
        <w:rPr>
          <w:color w:val="000000"/>
        </w:rPr>
        <w:t>na kluzácích. Jsou nakres</w:t>
      </w:r>
      <w:r w:rsidR="006E5EB2">
        <w:rPr>
          <w:color w:val="000000"/>
        </w:rPr>
        <w:t>lena a popsána na výkresech č. 8 a 9</w:t>
      </w:r>
    </w:p>
    <w:p w:rsidR="000A2137" w:rsidRDefault="000A2137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EE6C27" w:rsidRDefault="00EE6C27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Čela lůžek jsou v kombinaci dvou materiálů, po stranách jsou umístěna </w:t>
      </w:r>
      <w:r w:rsidR="00424256">
        <w:rPr>
          <w:color w:val="000000"/>
        </w:rPr>
        <w:t xml:space="preserve">bodová </w:t>
      </w:r>
      <w:r w:rsidR="004D20CA">
        <w:rPr>
          <w:color w:val="000000"/>
        </w:rPr>
        <w:t xml:space="preserve">kovová </w:t>
      </w:r>
      <w:r w:rsidR="00424256">
        <w:rPr>
          <w:color w:val="000000"/>
        </w:rPr>
        <w:t>čtecí svítidla na ohebném krku s vypínači na panelu, který je proto hluboký 45mm. Vypínače jsou po obou stranách panelu a jsou sdružené se zásuvkami. Instalace musí odpovídat platn</w:t>
      </w:r>
      <w:r w:rsidR="000A2137">
        <w:rPr>
          <w:color w:val="000000"/>
        </w:rPr>
        <w:t xml:space="preserve">ým </w:t>
      </w:r>
      <w:r w:rsidR="00902ABE">
        <w:rPr>
          <w:color w:val="000000"/>
        </w:rPr>
        <w:t>normám. Detaily</w:t>
      </w:r>
      <w:r w:rsidR="000A2137">
        <w:rPr>
          <w:color w:val="000000"/>
        </w:rPr>
        <w:t xml:space="preserve"> na výkrese </w:t>
      </w:r>
      <w:r w:rsidR="00902ABE">
        <w:rPr>
          <w:color w:val="000000"/>
        </w:rPr>
        <w:t>č. 10</w:t>
      </w:r>
    </w:p>
    <w:p w:rsidR="00424256" w:rsidRDefault="00424256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424256" w:rsidRDefault="00424256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Pracovní stolek je spojený s odkládacím, konferenčním stolkem, je spojený s panelem, na kterém je umístěna televize. Z toho důvodu je i tento panel hluboký 45mm.</w:t>
      </w:r>
    </w:p>
    <w:p w:rsidR="00424256" w:rsidRPr="00ED47C4" w:rsidRDefault="00424256">
      <w:pPr>
        <w:tabs>
          <w:tab w:val="left" w:pos="540"/>
          <w:tab w:val="left" w:pos="2340"/>
          <w:tab w:val="left" w:pos="2880"/>
        </w:tabs>
        <w:rPr>
          <w:b/>
          <w:color w:val="000000"/>
        </w:rPr>
      </w:pPr>
    </w:p>
    <w:p w:rsidR="00424256" w:rsidRDefault="00424256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Stolek má jednu zásuvku a odkládací poličku. Na panelu nad stolkem jsou el. </w:t>
      </w:r>
      <w:proofErr w:type="gramStart"/>
      <w:r>
        <w:rPr>
          <w:color w:val="000000"/>
        </w:rPr>
        <w:t>zásuvky</w:t>
      </w:r>
      <w:proofErr w:type="gramEnd"/>
      <w:r>
        <w:rPr>
          <w:color w:val="000000"/>
        </w:rPr>
        <w:t>,</w:t>
      </w:r>
    </w:p>
    <w:p w:rsidR="00424256" w:rsidRDefault="00424256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 jejich instalace musí odpovídat platné normě. Výška kulatého stolku odpovídá výšce pracovní židle a </w:t>
      </w:r>
      <w:proofErr w:type="spellStart"/>
      <w:r>
        <w:rPr>
          <w:color w:val="000000"/>
        </w:rPr>
        <w:t>polokřesla</w:t>
      </w:r>
      <w:proofErr w:type="spellEnd"/>
      <w:r>
        <w:rPr>
          <w:color w:val="000000"/>
        </w:rPr>
        <w:t>, kde jsou výšky sedáku cca 45cm.</w:t>
      </w:r>
      <w:r w:rsidR="000A2137">
        <w:rPr>
          <w:color w:val="000000"/>
        </w:rPr>
        <w:t xml:space="preserve"> </w:t>
      </w:r>
      <w:r w:rsidR="006E5EB2">
        <w:rPr>
          <w:color w:val="000000"/>
        </w:rPr>
        <w:t xml:space="preserve">Výkres stolku je na výkrese </w:t>
      </w:r>
      <w:r w:rsidR="00902ABE">
        <w:rPr>
          <w:color w:val="000000"/>
        </w:rPr>
        <w:t>č. 11</w:t>
      </w:r>
      <w:r>
        <w:rPr>
          <w:color w:val="000000"/>
        </w:rPr>
        <w:t xml:space="preserve">, </w:t>
      </w:r>
      <w:r w:rsidR="000A2137">
        <w:rPr>
          <w:color w:val="000000"/>
        </w:rPr>
        <w:t>s</w:t>
      </w:r>
      <w:r w:rsidR="006E5EB2">
        <w:rPr>
          <w:color w:val="000000"/>
        </w:rPr>
        <w:t xml:space="preserve">edací nábytek je na výkrese </w:t>
      </w:r>
      <w:r w:rsidR="00902ABE">
        <w:rPr>
          <w:color w:val="000000"/>
        </w:rPr>
        <w:t>č. 12</w:t>
      </w:r>
    </w:p>
    <w:p w:rsidR="004D45A8" w:rsidRDefault="004D45A8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213353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Barevná kombinace jednotlivých zařizovacích předmětů je na výkresech a na přiložených vizualizacích.</w:t>
      </w:r>
    </w:p>
    <w:p w:rsidR="004D45A8" w:rsidRDefault="004D45A8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213353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213353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>Předsíň:</w:t>
      </w:r>
    </w:p>
    <w:p w:rsidR="00213353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213353" w:rsidRDefault="001B7C1E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Předsíň je navržena s ohledem na vedení kanalizace </w:t>
      </w:r>
      <w:r w:rsidR="00851EA2">
        <w:rPr>
          <w:color w:val="000000"/>
        </w:rPr>
        <w:t xml:space="preserve">po pravé </w:t>
      </w:r>
      <w:r w:rsidR="000A2137">
        <w:rPr>
          <w:color w:val="000000"/>
        </w:rPr>
        <w:t xml:space="preserve">nebo levé </w:t>
      </w:r>
      <w:r w:rsidR="00851EA2">
        <w:rPr>
          <w:color w:val="000000"/>
        </w:rPr>
        <w:t>straně</w:t>
      </w:r>
      <w:r>
        <w:rPr>
          <w:color w:val="000000"/>
        </w:rPr>
        <w:t xml:space="preserve"> šatní </w:t>
      </w:r>
      <w:r w:rsidR="00902ABE">
        <w:rPr>
          <w:color w:val="000000"/>
        </w:rPr>
        <w:t>skříně. V  předsíni je</w:t>
      </w:r>
      <w:r w:rsidR="00213353">
        <w:rPr>
          <w:color w:val="000000"/>
        </w:rPr>
        <w:t xml:space="preserve"> skříň </w:t>
      </w:r>
      <w:r w:rsidR="00C81999">
        <w:rPr>
          <w:color w:val="000000"/>
        </w:rPr>
        <w:t>širok</w:t>
      </w:r>
      <w:r w:rsidR="00213353">
        <w:rPr>
          <w:color w:val="000000"/>
        </w:rPr>
        <w:t xml:space="preserve">á </w:t>
      </w:r>
      <w:r w:rsidR="00ED47C4">
        <w:rPr>
          <w:color w:val="000000"/>
        </w:rPr>
        <w:t>160 cm a</w:t>
      </w:r>
      <w:r w:rsidR="00213353">
        <w:rPr>
          <w:color w:val="000000"/>
        </w:rPr>
        <w:t xml:space="preserve"> hluboká 60 cm Ze strany od vstupních dveří je nika – odkládací prostor se </w:t>
      </w:r>
      <w:r w:rsidR="00ED47C4">
        <w:rPr>
          <w:color w:val="000000"/>
        </w:rPr>
        <w:t>dvěma</w:t>
      </w:r>
      <w:r w:rsidR="00213353">
        <w:rPr>
          <w:color w:val="000000"/>
        </w:rPr>
        <w:t xml:space="preserve"> háčky na panelu. V nice je polička na sednutí.</w:t>
      </w:r>
      <w:r w:rsidR="00ED47C4">
        <w:rPr>
          <w:color w:val="000000"/>
        </w:rPr>
        <w:t xml:space="preserve"> Z druhé strany skříně je odkladač zavazadel a panel se zrcadlem.</w:t>
      </w:r>
      <w:r w:rsidR="00C81999">
        <w:rPr>
          <w:color w:val="000000"/>
        </w:rPr>
        <w:t xml:space="preserve"> </w:t>
      </w:r>
      <w:r w:rsidR="00851EA2">
        <w:rPr>
          <w:color w:val="000000"/>
        </w:rPr>
        <w:t xml:space="preserve">V některých pokojích chybí po pravé straně předsíně vedení kanalizace a odkladač zavazadel je tak o 20cm širší. </w:t>
      </w:r>
      <w:r w:rsidR="00C81999">
        <w:rPr>
          <w:color w:val="000000"/>
        </w:rPr>
        <w:t>Předsíň je rozkreslena na výk</w:t>
      </w:r>
      <w:r w:rsidR="006E5EB2">
        <w:rPr>
          <w:color w:val="000000"/>
        </w:rPr>
        <w:t>resech č. 6 a 7</w:t>
      </w:r>
    </w:p>
    <w:p w:rsidR="00213353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4422B9" w:rsidRDefault="00213353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 </w:t>
      </w:r>
      <w:r w:rsidR="009F55B4">
        <w:rPr>
          <w:color w:val="000000"/>
        </w:rPr>
        <w:tab/>
      </w:r>
    </w:p>
    <w:p w:rsidR="004422B9" w:rsidRDefault="004422B9">
      <w:pPr>
        <w:tabs>
          <w:tab w:val="left" w:pos="540"/>
          <w:tab w:val="left" w:pos="2340"/>
          <w:tab w:val="left" w:pos="2880"/>
        </w:tabs>
      </w:pPr>
    </w:p>
    <w:p w:rsidR="00590331" w:rsidRDefault="00590331">
      <w:pPr>
        <w:tabs>
          <w:tab w:val="left" w:pos="54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                  </w:t>
      </w: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9F55B4" w:rsidRDefault="009F55B4">
      <w:pPr>
        <w:numPr>
          <w:ilvl w:val="0"/>
          <w:numId w:val="1"/>
        </w:numPr>
        <w:tabs>
          <w:tab w:val="left" w:pos="720"/>
          <w:tab w:val="left" w:pos="2340"/>
          <w:tab w:val="left" w:pos="2880"/>
        </w:tabs>
        <w:rPr>
          <w:color w:val="000000"/>
        </w:rPr>
      </w:pPr>
      <w:r>
        <w:rPr>
          <w:color w:val="000000"/>
        </w:rPr>
        <w:t xml:space="preserve">Rozsah použití jednotlivých materiálů a barev je rozkreslen a popsán na výkresech tvarů a detailů jednotlivých zařizovacích předmětů </w:t>
      </w:r>
      <w:r w:rsidR="00902ABE">
        <w:rPr>
          <w:color w:val="000000"/>
        </w:rPr>
        <w:t>interiéru</w:t>
      </w:r>
      <w:r>
        <w:rPr>
          <w:color w:val="000000"/>
        </w:rPr>
        <w:t xml:space="preserve"> a na výkrese obkladů stěn</w:t>
      </w:r>
    </w:p>
    <w:p w:rsidR="009F55B4" w:rsidRDefault="009F55B4">
      <w:pPr>
        <w:tabs>
          <w:tab w:val="left" w:pos="540"/>
          <w:tab w:val="left" w:pos="2340"/>
          <w:tab w:val="left" w:pos="2880"/>
        </w:tabs>
        <w:rPr>
          <w:color w:val="000000"/>
        </w:rPr>
      </w:pPr>
    </w:p>
    <w:p w:rsidR="009F55B4" w:rsidRDefault="009F55B4">
      <w:pPr>
        <w:numPr>
          <w:ilvl w:val="0"/>
          <w:numId w:val="1"/>
        </w:numPr>
        <w:tabs>
          <w:tab w:val="left" w:pos="720"/>
        </w:tabs>
        <w:rPr>
          <w:color w:val="000000"/>
        </w:rPr>
      </w:pPr>
      <w:r>
        <w:rPr>
          <w:color w:val="000000"/>
        </w:rPr>
        <w:t xml:space="preserve">Konkrétní typy výrobků a prvků specifikovaných v PD </w:t>
      </w:r>
      <w:r w:rsidR="00902ABE">
        <w:rPr>
          <w:color w:val="000000"/>
        </w:rPr>
        <w:t>interiéru</w:t>
      </w:r>
      <w:bookmarkStart w:id="0" w:name="_GoBack"/>
      <w:bookmarkEnd w:id="0"/>
      <w:r>
        <w:rPr>
          <w:color w:val="000000"/>
        </w:rPr>
        <w:t xml:space="preserve"> je nutné odsouhlasit zástupci uživatele a architektem</w:t>
      </w:r>
    </w:p>
    <w:p w:rsidR="009F55B4" w:rsidRDefault="009F55B4">
      <w:pPr>
        <w:rPr>
          <w:color w:val="000000"/>
        </w:rPr>
      </w:pPr>
    </w:p>
    <w:p w:rsidR="009F55B4" w:rsidRPr="00ED7E49" w:rsidRDefault="009F55B4">
      <w:pPr>
        <w:numPr>
          <w:ilvl w:val="0"/>
          <w:numId w:val="1"/>
        </w:numPr>
        <w:tabs>
          <w:tab w:val="left" w:pos="720"/>
        </w:tabs>
        <w:rPr>
          <w:color w:val="000000"/>
        </w:rPr>
      </w:pPr>
      <w:r>
        <w:rPr>
          <w:color w:val="000000"/>
        </w:rPr>
        <w:t>Všechny truhlářské výrobky je nutné vyrábět až po ověře</w:t>
      </w:r>
      <w:r w:rsidR="00ED47C4">
        <w:rPr>
          <w:color w:val="000000"/>
        </w:rPr>
        <w:t>ní skutečných rozměrů na stavbě!</w:t>
      </w:r>
      <w:r w:rsidR="009C6285">
        <w:rPr>
          <w:color w:val="000000"/>
        </w:rPr>
        <w:t xml:space="preserve"> </w:t>
      </w:r>
      <w:r w:rsidR="009C6285" w:rsidRPr="00ED47C4">
        <w:rPr>
          <w:color w:val="000000"/>
          <w:u w:val="single"/>
        </w:rPr>
        <w:t>Rozměry se mohou lišit od rozměrů vzorov</w:t>
      </w:r>
      <w:r w:rsidR="000A2137">
        <w:rPr>
          <w:color w:val="000000"/>
          <w:u w:val="single"/>
        </w:rPr>
        <w:t>ých pokojů</w:t>
      </w:r>
      <w:r w:rsidR="009C6285" w:rsidRPr="00ED47C4">
        <w:rPr>
          <w:color w:val="000000"/>
          <w:u w:val="single"/>
        </w:rPr>
        <w:t>.</w:t>
      </w:r>
    </w:p>
    <w:p w:rsidR="00ED7E49" w:rsidRDefault="00ED7E49" w:rsidP="00ED7E49">
      <w:pPr>
        <w:pStyle w:val="Odstavecseseznamem"/>
        <w:rPr>
          <w:color w:val="000000"/>
        </w:rPr>
      </w:pPr>
    </w:p>
    <w:p w:rsidR="00ED7E49" w:rsidRDefault="00ED7E49">
      <w:pPr>
        <w:numPr>
          <w:ilvl w:val="0"/>
          <w:numId w:val="1"/>
        </w:numPr>
        <w:tabs>
          <w:tab w:val="left" w:pos="720"/>
        </w:tabs>
        <w:rPr>
          <w:color w:val="000000"/>
        </w:rPr>
      </w:pPr>
      <w:r>
        <w:rPr>
          <w:color w:val="000000"/>
        </w:rPr>
        <w:t>Výkresy jsou rozkresleny pro levé provedení - pravé provedení je symetricky otočeno</w:t>
      </w: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ED47C4" w:rsidRDefault="00ED47C4">
      <w:pPr>
        <w:rPr>
          <w:color w:val="000000"/>
        </w:rPr>
      </w:pPr>
    </w:p>
    <w:p w:rsidR="00ED47C4" w:rsidRDefault="00ED47C4">
      <w:pPr>
        <w:rPr>
          <w:color w:val="000000"/>
        </w:rPr>
      </w:pPr>
    </w:p>
    <w:p w:rsidR="00ED47C4" w:rsidRDefault="00ED47C4">
      <w:pPr>
        <w:rPr>
          <w:color w:val="000000"/>
        </w:rPr>
      </w:pPr>
    </w:p>
    <w:p w:rsidR="00ED47C4" w:rsidRDefault="00ED47C4" w:rsidP="00ED47C4">
      <w:pPr>
        <w:rPr>
          <w:color w:val="000000"/>
        </w:rPr>
      </w:pPr>
      <w:r>
        <w:rPr>
          <w:color w:val="000000"/>
        </w:rPr>
        <w:t>arch. Zdeněk Kužela</w:t>
      </w:r>
    </w:p>
    <w:p w:rsidR="00ED47C4" w:rsidRDefault="00ED47C4" w:rsidP="00ED47C4">
      <w:pPr>
        <w:rPr>
          <w:color w:val="000000"/>
        </w:rPr>
      </w:pPr>
      <w:r>
        <w:rPr>
          <w:color w:val="000000"/>
        </w:rPr>
        <w:t>arch. Jiří Musil</w:t>
      </w:r>
    </w:p>
    <w:p w:rsidR="00ED47C4" w:rsidRDefault="00ED47C4" w:rsidP="00ED47C4">
      <w:pPr>
        <w:rPr>
          <w:color w:val="000000"/>
        </w:rPr>
      </w:pPr>
      <w:r>
        <w:rPr>
          <w:color w:val="000000"/>
        </w:rPr>
        <w:t xml:space="preserve">atelier </w:t>
      </w:r>
      <w:proofErr w:type="spellStart"/>
      <w:r>
        <w:rPr>
          <w:color w:val="000000"/>
        </w:rPr>
        <w:t>KiM</w:t>
      </w:r>
      <w:proofErr w:type="spellEnd"/>
      <w:r>
        <w:rPr>
          <w:color w:val="000000"/>
        </w:rPr>
        <w:t xml:space="preserve"> Brno   </w:t>
      </w:r>
    </w:p>
    <w:p w:rsidR="00ED47C4" w:rsidRDefault="00ED47C4" w:rsidP="00ED47C4">
      <w:pPr>
        <w:rPr>
          <w:color w:val="000000"/>
        </w:rPr>
      </w:pPr>
    </w:p>
    <w:p w:rsidR="00ED47C4" w:rsidRDefault="00ED47C4" w:rsidP="00ED47C4">
      <w:pPr>
        <w:rPr>
          <w:color w:val="000000"/>
        </w:rPr>
      </w:pPr>
      <w:r>
        <w:rPr>
          <w:color w:val="000000"/>
        </w:rPr>
        <w:t xml:space="preserve">atelier </w:t>
      </w:r>
      <w:proofErr w:type="spellStart"/>
      <w:r>
        <w:rPr>
          <w:color w:val="000000"/>
        </w:rPr>
        <w:t>KiM</w:t>
      </w:r>
      <w:proofErr w:type="spellEnd"/>
      <w:r>
        <w:rPr>
          <w:color w:val="000000"/>
        </w:rPr>
        <w:t xml:space="preserve">, Skorkovského 159, </w:t>
      </w:r>
      <w:proofErr w:type="gramStart"/>
      <w:r>
        <w:rPr>
          <w:color w:val="000000"/>
        </w:rPr>
        <w:t>636 00  Brno</w:t>
      </w:r>
      <w:proofErr w:type="gramEnd"/>
      <w:r>
        <w:rPr>
          <w:color w:val="000000"/>
        </w:rPr>
        <w:t xml:space="preserve">   květen 201</w:t>
      </w:r>
      <w:r w:rsidR="000A2137">
        <w:rPr>
          <w:color w:val="000000"/>
        </w:rPr>
        <w:t>7</w:t>
      </w: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9F55B4" w:rsidRDefault="009F55B4">
      <w:pPr>
        <w:rPr>
          <w:color w:val="000000"/>
        </w:rPr>
      </w:pPr>
    </w:p>
    <w:p w:rsidR="00724E03" w:rsidRDefault="00724E03">
      <w:pPr>
        <w:rPr>
          <w:color w:val="000000"/>
        </w:rPr>
      </w:pPr>
    </w:p>
    <w:p w:rsidR="00724E03" w:rsidRDefault="00724E03">
      <w:pPr>
        <w:rPr>
          <w:color w:val="000000"/>
        </w:rPr>
      </w:pPr>
    </w:p>
    <w:p w:rsidR="009F55B4" w:rsidRDefault="009F55B4">
      <w:pPr>
        <w:rPr>
          <w:color w:val="000000"/>
          <w:sz w:val="36"/>
          <w:szCs w:val="36"/>
        </w:rPr>
      </w:pPr>
    </w:p>
    <w:p w:rsidR="009F55B4" w:rsidRDefault="009F55B4">
      <w:pPr>
        <w:jc w:val="center"/>
      </w:pPr>
    </w:p>
    <w:p w:rsidR="00C81999" w:rsidRDefault="004F46C1" w:rsidP="004F46C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</w:p>
    <w:p w:rsidR="00C81999" w:rsidRDefault="00C81999" w:rsidP="004F46C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</w:t>
      </w: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0A2137" w:rsidRDefault="000A2137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</w:p>
    <w:p w:rsidR="00307B14" w:rsidRDefault="00307B14" w:rsidP="00307B14">
      <w:pPr>
        <w:pStyle w:val="Nadpis2"/>
        <w:ind w:right="-7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DODÁVKA A MONTÁŽ NÁBYTKU</w:t>
      </w:r>
      <w:r>
        <w:rPr>
          <w:rFonts w:ascii="Arial" w:hAnsi="Arial" w:cs="Arial"/>
          <w:sz w:val="40"/>
          <w:szCs w:val="40"/>
        </w:rPr>
        <w:br/>
        <w:t xml:space="preserve"> </w:t>
      </w:r>
      <w:r>
        <w:rPr>
          <w:rFonts w:ascii="Arial" w:hAnsi="Arial" w:cs="Arial"/>
          <w:sz w:val="40"/>
        </w:rPr>
        <w:t>KOLEJE VINAŘSKÁ 5, BRNO</w:t>
      </w:r>
    </w:p>
    <w:p w:rsidR="009F55B4" w:rsidRDefault="009F55B4" w:rsidP="004F46C1">
      <w:pPr>
        <w:rPr>
          <w:sz w:val="36"/>
          <w:szCs w:val="36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 w:rsidP="00ED7E49">
      <w:pPr>
        <w:jc w:val="center"/>
        <w:rPr>
          <w:sz w:val="28"/>
          <w:szCs w:val="28"/>
        </w:rPr>
      </w:pPr>
    </w:p>
    <w:p w:rsidR="009F55B4" w:rsidRDefault="00235A75" w:rsidP="00ED7E49">
      <w:pPr>
        <w:jc w:val="center"/>
        <w:rPr>
          <w:sz w:val="28"/>
          <w:szCs w:val="28"/>
        </w:rPr>
      </w:pPr>
      <w:r>
        <w:rPr>
          <w:sz w:val="28"/>
          <w:szCs w:val="28"/>
        </w:rPr>
        <w:t>PRŮVODNÍ ZPRÁVA</w:t>
      </w:r>
    </w:p>
    <w:p w:rsidR="009F55B4" w:rsidRDefault="009F55B4" w:rsidP="00ED7E49">
      <w:pPr>
        <w:jc w:val="center"/>
        <w:rPr>
          <w:sz w:val="28"/>
          <w:szCs w:val="28"/>
        </w:rPr>
      </w:pPr>
    </w:p>
    <w:p w:rsidR="004F46C1" w:rsidRDefault="009F55B4" w:rsidP="00ED7E49">
      <w:pPr>
        <w:jc w:val="center"/>
        <w:rPr>
          <w:sz w:val="28"/>
          <w:szCs w:val="28"/>
        </w:rPr>
      </w:pPr>
      <w:r>
        <w:rPr>
          <w:sz w:val="28"/>
          <w:szCs w:val="28"/>
        </w:rPr>
        <w:t>K</w:t>
      </w:r>
      <w:r w:rsidR="004F46C1">
        <w:rPr>
          <w:sz w:val="28"/>
          <w:szCs w:val="28"/>
        </w:rPr>
        <w:t> </w:t>
      </w:r>
      <w:r>
        <w:rPr>
          <w:sz w:val="28"/>
          <w:szCs w:val="28"/>
        </w:rPr>
        <w:t>NÁVRHU</w:t>
      </w:r>
      <w:r w:rsidR="004F46C1">
        <w:rPr>
          <w:sz w:val="28"/>
          <w:szCs w:val="28"/>
        </w:rPr>
        <w:t xml:space="preserve"> ÚPRAV</w:t>
      </w:r>
      <w:r>
        <w:rPr>
          <w:sz w:val="28"/>
          <w:szCs w:val="28"/>
        </w:rPr>
        <w:t xml:space="preserve"> INTERIERU</w:t>
      </w:r>
    </w:p>
    <w:p w:rsidR="004F46C1" w:rsidRDefault="004F46C1" w:rsidP="00ED7E49">
      <w:pPr>
        <w:jc w:val="center"/>
        <w:rPr>
          <w:sz w:val="28"/>
          <w:szCs w:val="28"/>
        </w:rPr>
      </w:pPr>
    </w:p>
    <w:p w:rsidR="004F46C1" w:rsidRDefault="00235A75" w:rsidP="00ED7E49">
      <w:pPr>
        <w:jc w:val="center"/>
        <w:rPr>
          <w:sz w:val="28"/>
          <w:szCs w:val="28"/>
        </w:rPr>
      </w:pPr>
      <w:r>
        <w:rPr>
          <w:sz w:val="28"/>
          <w:szCs w:val="28"/>
        </w:rPr>
        <w:t>DVOULŮŽKOVÝCH POKOJŮ</w:t>
      </w:r>
      <w:r w:rsidR="00ED7E49">
        <w:rPr>
          <w:sz w:val="28"/>
          <w:szCs w:val="28"/>
        </w:rPr>
        <w:t xml:space="preserve"> typu H</w:t>
      </w:r>
    </w:p>
    <w:p w:rsidR="009F55B4" w:rsidRDefault="009F55B4" w:rsidP="00ED7E49">
      <w:pPr>
        <w:jc w:val="center"/>
        <w:rPr>
          <w:sz w:val="28"/>
          <w:szCs w:val="28"/>
        </w:rPr>
      </w:pPr>
    </w:p>
    <w:p w:rsidR="00C81999" w:rsidRDefault="00C81999" w:rsidP="00ED7E49">
      <w:pPr>
        <w:jc w:val="center"/>
        <w:rPr>
          <w:sz w:val="28"/>
          <w:szCs w:val="28"/>
        </w:rPr>
      </w:pPr>
    </w:p>
    <w:p w:rsidR="009F55B4" w:rsidRDefault="00235A75" w:rsidP="00ED7E49">
      <w:pPr>
        <w:jc w:val="center"/>
        <w:rPr>
          <w:sz w:val="28"/>
          <w:szCs w:val="28"/>
        </w:rPr>
      </w:pPr>
      <w:r>
        <w:rPr>
          <w:sz w:val="28"/>
          <w:szCs w:val="28"/>
        </w:rPr>
        <w:t>KOLEJÍ VINAŘSKÁ 5 BRNO</w:t>
      </w:r>
    </w:p>
    <w:p w:rsidR="009F55B4" w:rsidRDefault="009F55B4" w:rsidP="00ED7E49">
      <w:pPr>
        <w:jc w:val="center"/>
        <w:rPr>
          <w:sz w:val="28"/>
          <w:szCs w:val="28"/>
        </w:rPr>
      </w:pPr>
    </w:p>
    <w:p w:rsidR="009F55B4" w:rsidRDefault="009F55B4" w:rsidP="00ED7E49">
      <w:pPr>
        <w:jc w:val="center"/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9F55B4" w:rsidSect="002C49C5">
      <w:footnotePr>
        <w:pos w:val="beneathText"/>
      </w:footnotePr>
      <w:pgSz w:w="11321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sDCE-LightCondensed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04704D"/>
    <w:rsid w:val="0004704D"/>
    <w:rsid w:val="00056746"/>
    <w:rsid w:val="000A2137"/>
    <w:rsid w:val="000B7618"/>
    <w:rsid w:val="001002FE"/>
    <w:rsid w:val="001B0085"/>
    <w:rsid w:val="001B7C1E"/>
    <w:rsid w:val="001C1594"/>
    <w:rsid w:val="001D5DCB"/>
    <w:rsid w:val="001F0916"/>
    <w:rsid w:val="0021291E"/>
    <w:rsid w:val="00213353"/>
    <w:rsid w:val="00232340"/>
    <w:rsid w:val="00235A75"/>
    <w:rsid w:val="002B4D2D"/>
    <w:rsid w:val="002C49C5"/>
    <w:rsid w:val="002D4293"/>
    <w:rsid w:val="002E5DCF"/>
    <w:rsid w:val="00307B14"/>
    <w:rsid w:val="0035024F"/>
    <w:rsid w:val="003B43C0"/>
    <w:rsid w:val="00424256"/>
    <w:rsid w:val="004422B9"/>
    <w:rsid w:val="004A27EA"/>
    <w:rsid w:val="004D20CA"/>
    <w:rsid w:val="004D45A8"/>
    <w:rsid w:val="004F46C1"/>
    <w:rsid w:val="005653E1"/>
    <w:rsid w:val="00590331"/>
    <w:rsid w:val="005C416E"/>
    <w:rsid w:val="006267A3"/>
    <w:rsid w:val="006630B6"/>
    <w:rsid w:val="00665CA7"/>
    <w:rsid w:val="006918F2"/>
    <w:rsid w:val="006E5EB2"/>
    <w:rsid w:val="00724E03"/>
    <w:rsid w:val="00743A01"/>
    <w:rsid w:val="007A794D"/>
    <w:rsid w:val="00851EA2"/>
    <w:rsid w:val="008663EE"/>
    <w:rsid w:val="00872C70"/>
    <w:rsid w:val="00902ABE"/>
    <w:rsid w:val="00962E4D"/>
    <w:rsid w:val="00964665"/>
    <w:rsid w:val="0097435A"/>
    <w:rsid w:val="009A6E5F"/>
    <w:rsid w:val="009C6285"/>
    <w:rsid w:val="009D1D66"/>
    <w:rsid w:val="009F55B4"/>
    <w:rsid w:val="00A019A1"/>
    <w:rsid w:val="00A5134A"/>
    <w:rsid w:val="00A90EB0"/>
    <w:rsid w:val="00AB147C"/>
    <w:rsid w:val="00BA2EC4"/>
    <w:rsid w:val="00BA6C4C"/>
    <w:rsid w:val="00BC212A"/>
    <w:rsid w:val="00C22493"/>
    <w:rsid w:val="00C22FE7"/>
    <w:rsid w:val="00C361C1"/>
    <w:rsid w:val="00C61271"/>
    <w:rsid w:val="00C81999"/>
    <w:rsid w:val="00CB0B27"/>
    <w:rsid w:val="00D04A43"/>
    <w:rsid w:val="00D22A7D"/>
    <w:rsid w:val="00D334A1"/>
    <w:rsid w:val="00D678CE"/>
    <w:rsid w:val="00DE1282"/>
    <w:rsid w:val="00E2072C"/>
    <w:rsid w:val="00E37B4B"/>
    <w:rsid w:val="00E74DB3"/>
    <w:rsid w:val="00E975BF"/>
    <w:rsid w:val="00ED47C4"/>
    <w:rsid w:val="00ED7E49"/>
    <w:rsid w:val="00EE2325"/>
    <w:rsid w:val="00EE6C27"/>
    <w:rsid w:val="00F30D54"/>
    <w:rsid w:val="00F504D2"/>
    <w:rsid w:val="00FD35A2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49C5"/>
    <w:pPr>
      <w:suppressAutoHyphens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307B14"/>
    <w:pPr>
      <w:keepNext/>
      <w:suppressAutoHyphens w:val="0"/>
      <w:jc w:val="center"/>
      <w:outlineLvl w:val="1"/>
    </w:pPr>
    <w:rPr>
      <w:rFonts w:ascii="Avalon" w:hAnsi="Avalon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2C49C5"/>
  </w:style>
  <w:style w:type="character" w:customStyle="1" w:styleId="Odrky">
    <w:name w:val="Odrážky"/>
    <w:rsid w:val="002C49C5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2C49C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2C49C5"/>
    <w:pPr>
      <w:spacing w:after="120"/>
    </w:pPr>
  </w:style>
  <w:style w:type="paragraph" w:styleId="Seznam">
    <w:name w:val="List"/>
    <w:basedOn w:val="Zkladntext"/>
    <w:semiHidden/>
    <w:rsid w:val="002C49C5"/>
    <w:rPr>
      <w:rFonts w:cs="Tahoma"/>
    </w:rPr>
  </w:style>
  <w:style w:type="paragraph" w:customStyle="1" w:styleId="Popisek">
    <w:name w:val="Popisek"/>
    <w:basedOn w:val="Normln"/>
    <w:rsid w:val="002C49C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2C49C5"/>
    <w:pPr>
      <w:suppressLineNumbers/>
    </w:pPr>
    <w:rPr>
      <w:rFonts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12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C212A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ED7E49"/>
    <w:pPr>
      <w:ind w:left="708"/>
    </w:pPr>
  </w:style>
  <w:style w:type="character" w:customStyle="1" w:styleId="Nadpis2Char">
    <w:name w:val="Nadpis 2 Char"/>
    <w:link w:val="Nadpis2"/>
    <w:semiHidden/>
    <w:rsid w:val="00307B14"/>
    <w:rPr>
      <w:rFonts w:ascii="Avalon" w:hAnsi="Avalo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</dc:creator>
  <cp:lastModifiedBy>Ing. Bc. Petra Heczková</cp:lastModifiedBy>
  <cp:revision>11</cp:revision>
  <cp:lastPrinted>2017-04-06T09:17:00Z</cp:lastPrinted>
  <dcterms:created xsi:type="dcterms:W3CDTF">2017-03-28T10:14:00Z</dcterms:created>
  <dcterms:modified xsi:type="dcterms:W3CDTF">2017-05-12T07:01:00Z</dcterms:modified>
</cp:coreProperties>
</file>